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74" w:rsidRPr="002967AE" w:rsidRDefault="00101974" w:rsidP="00101974">
      <w:pPr>
        <w:pStyle w:val="Normal1"/>
        <w:widowControl w:val="0"/>
        <w:spacing w:after="0" w:line="240" w:lineRule="auto"/>
        <w:contextualSpacing/>
        <w:jc w:val="center"/>
        <w:rPr>
          <w:rFonts w:asciiTheme="minorHAnsi" w:hAnsiTheme="minorHAnsi"/>
          <w:b/>
          <w:sz w:val="24"/>
          <w:szCs w:val="22"/>
        </w:rPr>
      </w:pPr>
      <w:bookmarkStart w:id="0" w:name="_GoBack"/>
      <w:bookmarkEnd w:id="0"/>
      <w:r w:rsidRPr="002967AE">
        <w:rPr>
          <w:rFonts w:asciiTheme="minorHAnsi" w:eastAsia="Arial" w:hAnsiTheme="minorHAnsi" w:cs="Arial"/>
          <w:b/>
          <w:sz w:val="24"/>
          <w:szCs w:val="22"/>
        </w:rPr>
        <w:t>IT 328: Milestone Three Guidelines and Rubric</w:t>
      </w:r>
    </w:p>
    <w:p w:rsidR="003D58DA" w:rsidRPr="0030438E" w:rsidRDefault="0030438E" w:rsidP="0030438E">
      <w:pPr>
        <w:widowControl w:val="0"/>
        <w:spacing w:after="0" w:line="240" w:lineRule="auto"/>
        <w:contextualSpacing/>
        <w:rPr>
          <w:rFonts w:cs="Times New Roman"/>
          <w:color w:val="000000" w:themeColor="text1"/>
          <w:szCs w:val="22"/>
        </w:rPr>
      </w:pPr>
      <w:r w:rsidRPr="0030438E">
        <w:rPr>
          <w:rFonts w:cs="Arial"/>
          <w:b/>
          <w:color w:val="000000" w:themeColor="text1"/>
          <w:szCs w:val="22"/>
        </w:rPr>
        <w:t xml:space="preserve">Prompt: </w:t>
      </w:r>
      <w:r w:rsidR="003D58DA" w:rsidRPr="0030438E">
        <w:rPr>
          <w:rFonts w:cs="Arial"/>
          <w:color w:val="000000" w:themeColor="text1"/>
          <w:szCs w:val="22"/>
        </w:rPr>
        <w:t xml:space="preserve">For this milestone, you will create a risk management plan. Using the </w:t>
      </w:r>
      <w:r w:rsidR="009E7EF7">
        <w:rPr>
          <w:rFonts w:cs="Arial"/>
          <w:color w:val="000000" w:themeColor="text1"/>
          <w:szCs w:val="22"/>
        </w:rPr>
        <w:t xml:space="preserve">final </w:t>
      </w:r>
      <w:r w:rsidR="003D58DA" w:rsidRPr="0030438E">
        <w:rPr>
          <w:rFonts w:cs="Arial"/>
          <w:color w:val="000000" w:themeColor="text1"/>
          <w:szCs w:val="22"/>
        </w:rPr>
        <w:t xml:space="preserve">project scenario </w:t>
      </w:r>
      <w:r w:rsidR="009E7EF7">
        <w:rPr>
          <w:rFonts w:cs="Arial"/>
          <w:color w:val="000000" w:themeColor="text1"/>
          <w:szCs w:val="22"/>
        </w:rPr>
        <w:t xml:space="preserve">you chose in Module One </w:t>
      </w:r>
      <w:r w:rsidR="003D58DA" w:rsidRPr="0030438E">
        <w:rPr>
          <w:rFonts w:cs="Arial"/>
          <w:color w:val="000000" w:themeColor="text1"/>
          <w:szCs w:val="22"/>
        </w:rPr>
        <w:t xml:space="preserve">and the plan template </w:t>
      </w:r>
      <w:r w:rsidR="00D41B85">
        <w:rPr>
          <w:rFonts w:cs="Arial"/>
          <w:color w:val="000000" w:themeColor="text1"/>
          <w:szCs w:val="22"/>
        </w:rPr>
        <w:t xml:space="preserve">provided </w:t>
      </w:r>
      <w:r w:rsidR="003D58DA" w:rsidRPr="0030438E">
        <w:rPr>
          <w:rFonts w:cs="Arial"/>
          <w:color w:val="000000" w:themeColor="text1"/>
          <w:szCs w:val="22"/>
        </w:rPr>
        <w:t xml:space="preserve">in the </w:t>
      </w:r>
      <w:r w:rsidR="00ED3735">
        <w:rPr>
          <w:rFonts w:cs="Arial"/>
          <w:color w:val="000000" w:themeColor="text1"/>
          <w:szCs w:val="22"/>
        </w:rPr>
        <w:t>M</w:t>
      </w:r>
      <w:r w:rsidR="003D58DA" w:rsidRPr="0030438E">
        <w:rPr>
          <w:rFonts w:cs="Arial"/>
          <w:color w:val="000000" w:themeColor="text1"/>
          <w:szCs w:val="22"/>
        </w:rPr>
        <w:t xml:space="preserve">odule </w:t>
      </w:r>
      <w:r w:rsidR="00ED3735">
        <w:rPr>
          <w:rFonts w:cs="Arial"/>
          <w:color w:val="000000" w:themeColor="text1"/>
          <w:szCs w:val="22"/>
        </w:rPr>
        <w:t xml:space="preserve">Three </w:t>
      </w:r>
      <w:r w:rsidR="003D58DA" w:rsidRPr="0030438E">
        <w:rPr>
          <w:rFonts w:cs="Arial"/>
          <w:color w:val="000000" w:themeColor="text1"/>
          <w:szCs w:val="22"/>
        </w:rPr>
        <w:t>resources, fill in details about risks in your project. Be sure to include a number of different risks</w:t>
      </w:r>
      <w:r w:rsidR="00D41B85">
        <w:rPr>
          <w:rFonts w:cs="Arial"/>
          <w:color w:val="000000" w:themeColor="text1"/>
          <w:szCs w:val="22"/>
        </w:rPr>
        <w:t>. A</w:t>
      </w:r>
      <w:r w:rsidR="003D58DA" w:rsidRPr="0030438E">
        <w:rPr>
          <w:rFonts w:cs="Arial"/>
          <w:color w:val="000000" w:themeColor="text1"/>
          <w:szCs w:val="22"/>
        </w:rPr>
        <w:t>dd information and details about the risk</w:t>
      </w:r>
      <w:r w:rsidR="00D41B85">
        <w:rPr>
          <w:rFonts w:cs="Arial"/>
          <w:color w:val="000000" w:themeColor="text1"/>
          <w:szCs w:val="22"/>
        </w:rPr>
        <w:t>s</w:t>
      </w:r>
      <w:r w:rsidR="003D58DA" w:rsidRPr="0030438E">
        <w:rPr>
          <w:rFonts w:cs="Arial"/>
          <w:color w:val="000000" w:themeColor="text1"/>
          <w:szCs w:val="22"/>
        </w:rPr>
        <w:t xml:space="preserve">, and </w:t>
      </w:r>
      <w:r w:rsidR="00D41B85">
        <w:rPr>
          <w:rFonts w:cs="Arial"/>
          <w:color w:val="000000" w:themeColor="text1"/>
          <w:szCs w:val="22"/>
        </w:rPr>
        <w:t xml:space="preserve">evaluate </w:t>
      </w:r>
      <w:r w:rsidR="003D58DA" w:rsidRPr="0030438E">
        <w:rPr>
          <w:rFonts w:cs="Arial"/>
          <w:color w:val="000000" w:themeColor="text1"/>
          <w:szCs w:val="22"/>
        </w:rPr>
        <w:t>the risk</w:t>
      </w:r>
      <w:r w:rsidR="00D41B85">
        <w:rPr>
          <w:rFonts w:cs="Arial"/>
          <w:color w:val="000000" w:themeColor="text1"/>
          <w:szCs w:val="22"/>
        </w:rPr>
        <w:t>s</w:t>
      </w:r>
      <w:r w:rsidR="003D58DA" w:rsidRPr="0030438E">
        <w:rPr>
          <w:rFonts w:cs="Arial"/>
          <w:color w:val="000000" w:themeColor="text1"/>
          <w:szCs w:val="22"/>
        </w:rPr>
        <w:t xml:space="preserve"> (as indicated in the template).</w:t>
      </w:r>
    </w:p>
    <w:p w:rsidR="0030438E" w:rsidRPr="0030438E" w:rsidRDefault="0030438E" w:rsidP="0030438E">
      <w:pPr>
        <w:widowControl w:val="0"/>
        <w:spacing w:after="0" w:line="240" w:lineRule="auto"/>
        <w:contextualSpacing/>
        <w:rPr>
          <w:rFonts w:cs="Times New Roman"/>
          <w:b/>
          <w:bCs/>
          <w:color w:val="000000" w:themeColor="text1"/>
          <w:szCs w:val="22"/>
        </w:rPr>
      </w:pPr>
    </w:p>
    <w:p w:rsidR="003D58DA" w:rsidRDefault="003D58DA" w:rsidP="0030438E">
      <w:pPr>
        <w:widowControl w:val="0"/>
        <w:spacing w:after="0" w:line="240" w:lineRule="auto"/>
        <w:contextualSpacing/>
        <w:rPr>
          <w:rFonts w:cs="Times New Roman"/>
          <w:bCs/>
          <w:color w:val="000000" w:themeColor="text1"/>
          <w:szCs w:val="22"/>
        </w:rPr>
      </w:pPr>
      <w:r w:rsidRPr="0030438E">
        <w:rPr>
          <w:rFonts w:cs="Times New Roman"/>
          <w:b/>
          <w:bCs/>
          <w:color w:val="000000" w:themeColor="text1"/>
          <w:szCs w:val="22"/>
        </w:rPr>
        <w:t>Requirements of Submission:</w:t>
      </w:r>
      <w:r w:rsidRPr="0030438E">
        <w:rPr>
          <w:rFonts w:cs="Times New Roman"/>
          <w:bCs/>
          <w:color w:val="000000" w:themeColor="text1"/>
          <w:szCs w:val="22"/>
        </w:rPr>
        <w:t xml:space="preserve"> </w:t>
      </w:r>
      <w:r w:rsidR="000F5585">
        <w:rPr>
          <w:rFonts w:cs="Times New Roman"/>
          <w:bCs/>
          <w:color w:val="000000" w:themeColor="text1"/>
          <w:szCs w:val="22"/>
        </w:rPr>
        <w:t>The submission should be a</w:t>
      </w:r>
      <w:r w:rsidR="0000740F">
        <w:rPr>
          <w:rFonts w:cs="Times New Roman"/>
          <w:bCs/>
          <w:color w:val="000000" w:themeColor="text1"/>
          <w:szCs w:val="22"/>
        </w:rPr>
        <w:t>n</w:t>
      </w:r>
      <w:r w:rsidR="000F5585">
        <w:rPr>
          <w:rFonts w:cs="Times New Roman"/>
          <w:bCs/>
          <w:color w:val="000000" w:themeColor="text1"/>
          <w:szCs w:val="22"/>
        </w:rPr>
        <w:t xml:space="preserve"> Excel </w:t>
      </w:r>
      <w:r w:rsidRPr="0030438E">
        <w:rPr>
          <w:rFonts w:cs="Times New Roman"/>
          <w:bCs/>
          <w:color w:val="000000" w:themeColor="text1"/>
          <w:szCs w:val="22"/>
        </w:rPr>
        <w:t>document based on the downloaded template.</w:t>
      </w:r>
    </w:p>
    <w:p w:rsidR="00E13FE3" w:rsidRDefault="00E13FE3" w:rsidP="0030438E">
      <w:pPr>
        <w:widowControl w:val="0"/>
        <w:spacing w:after="0" w:line="240" w:lineRule="auto"/>
        <w:contextualSpacing/>
        <w:rPr>
          <w:rFonts w:cs="Times New Roman"/>
          <w:bCs/>
          <w:color w:val="000000" w:themeColor="text1"/>
          <w:szCs w:val="22"/>
        </w:rPr>
      </w:pPr>
    </w:p>
    <w:p w:rsidR="00E13FE3" w:rsidRPr="00B5373D" w:rsidRDefault="00E13FE3" w:rsidP="00E13FE3">
      <w:pPr>
        <w:widowControl w:val="0"/>
        <w:spacing w:after="0"/>
        <w:contextualSpacing/>
        <w:rPr>
          <w:rFonts w:eastAsia="Times New Roman"/>
        </w:rPr>
      </w:pPr>
      <w:r w:rsidRPr="00C810A2">
        <w:rPr>
          <w:b/>
        </w:rPr>
        <w:t>Instructor Feedback</w:t>
      </w:r>
      <w:r w:rsidRPr="00C810A2">
        <w:t>:</w:t>
      </w:r>
      <w:r w:rsidRPr="00B5373D">
        <w:t xml:space="preserve"> Students can find their feedback in the Grade Center.</w:t>
      </w:r>
    </w:p>
    <w:p w:rsidR="0030438E" w:rsidRPr="0030438E" w:rsidRDefault="0030438E" w:rsidP="0030438E">
      <w:pPr>
        <w:widowControl w:val="0"/>
        <w:spacing w:after="0" w:line="240" w:lineRule="auto"/>
        <w:contextualSpacing/>
        <w:rPr>
          <w:rFonts w:cs="Times New Roman"/>
          <w:color w:val="000000" w:themeColor="text1"/>
          <w:szCs w:val="22"/>
        </w:rPr>
      </w:pPr>
    </w:p>
    <w:tbl>
      <w:tblPr>
        <w:tblW w:w="13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2745"/>
        <w:gridCol w:w="2745"/>
        <w:gridCol w:w="2745"/>
        <w:gridCol w:w="2745"/>
        <w:gridCol w:w="810"/>
      </w:tblGrid>
      <w:tr w:rsidR="0030438E" w:rsidRPr="00CF766C" w:rsidTr="004E6B6F">
        <w:trPr>
          <w:cantSplit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Pr="00CF766C" w:rsidRDefault="0030438E" w:rsidP="0030438E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Critical Elements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Pr="00CF766C" w:rsidRDefault="0030438E" w:rsidP="0030438E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Exemplary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Pr="00CF766C" w:rsidRDefault="0030438E" w:rsidP="0030438E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Proficient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Pr="00CF766C" w:rsidRDefault="0030438E" w:rsidP="0030438E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Needs Improvement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Pr="00CF766C" w:rsidRDefault="0030438E" w:rsidP="0030438E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Not Evident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38E" w:rsidRPr="00CF766C" w:rsidRDefault="0030438E" w:rsidP="0030438E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Value</w:t>
            </w:r>
          </w:p>
        </w:tc>
      </w:tr>
      <w:tr w:rsidR="0030438E" w:rsidRPr="00CF766C" w:rsidTr="004E6B6F">
        <w:trPr>
          <w:cantSplit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Pr="007E737B" w:rsidRDefault="0030438E" w:rsidP="007E737B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0"/>
              </w:rPr>
            </w:pPr>
            <w:r w:rsidRPr="007E737B">
              <w:rPr>
                <w:rFonts w:cs="Times New Roman"/>
                <w:b/>
                <w:color w:val="000000" w:themeColor="text1"/>
                <w:sz w:val="20"/>
              </w:rPr>
              <w:t>Quantity of Risks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Default="004024A2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>Seven</w:t>
            </w:r>
            <w:r w:rsidR="007E737B">
              <w:rPr>
                <w:rFonts w:cs="Times New Roman"/>
                <w:color w:val="000000" w:themeColor="text1"/>
                <w:sz w:val="20"/>
              </w:rPr>
              <w:t xml:space="preserve"> or more risks </w:t>
            </w:r>
            <w:r>
              <w:rPr>
                <w:rFonts w:cs="Times New Roman"/>
                <w:color w:val="000000" w:themeColor="text1"/>
                <w:sz w:val="20"/>
              </w:rPr>
              <w:t xml:space="preserve">are </w:t>
            </w:r>
            <w:r w:rsidR="007E737B">
              <w:rPr>
                <w:rFonts w:cs="Times New Roman"/>
                <w:color w:val="000000" w:themeColor="text1"/>
                <w:sz w:val="20"/>
              </w:rPr>
              <w:t>listed</w:t>
            </w:r>
          </w:p>
          <w:p w:rsidR="007E737B" w:rsidRPr="00CF766C" w:rsidRDefault="007E737B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(23-25)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Default="004024A2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 xml:space="preserve">Five to six </w:t>
            </w:r>
            <w:r w:rsidR="007E737B">
              <w:rPr>
                <w:rFonts w:cs="Times New Roman"/>
                <w:color w:val="000000" w:themeColor="text1"/>
                <w:sz w:val="20"/>
              </w:rPr>
              <w:t xml:space="preserve">risks </w:t>
            </w:r>
            <w:r>
              <w:rPr>
                <w:rFonts w:cs="Times New Roman"/>
                <w:color w:val="000000" w:themeColor="text1"/>
                <w:sz w:val="20"/>
              </w:rPr>
              <w:t xml:space="preserve">are </w:t>
            </w:r>
            <w:r w:rsidR="007E737B">
              <w:rPr>
                <w:rFonts w:cs="Times New Roman"/>
                <w:color w:val="000000" w:themeColor="text1"/>
                <w:sz w:val="20"/>
              </w:rPr>
              <w:t>listed</w:t>
            </w:r>
          </w:p>
          <w:p w:rsidR="007E737B" w:rsidRPr="00CF766C" w:rsidRDefault="007E737B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(20-22)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Default="004024A2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 xml:space="preserve">Three to four </w:t>
            </w:r>
            <w:r w:rsidR="007E737B">
              <w:rPr>
                <w:rFonts w:cs="Times New Roman"/>
                <w:color w:val="000000" w:themeColor="text1"/>
                <w:sz w:val="20"/>
              </w:rPr>
              <w:t xml:space="preserve">risks </w:t>
            </w:r>
            <w:r>
              <w:rPr>
                <w:rFonts w:cs="Times New Roman"/>
                <w:color w:val="000000" w:themeColor="text1"/>
                <w:sz w:val="20"/>
              </w:rPr>
              <w:t xml:space="preserve">are </w:t>
            </w:r>
            <w:r w:rsidR="007E737B">
              <w:rPr>
                <w:rFonts w:cs="Times New Roman"/>
                <w:color w:val="000000" w:themeColor="text1"/>
                <w:sz w:val="20"/>
              </w:rPr>
              <w:t>listed</w:t>
            </w:r>
          </w:p>
          <w:p w:rsidR="004E6B6F" w:rsidRPr="00CF766C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(18-19)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Default="004024A2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 xml:space="preserve">One to two </w:t>
            </w:r>
            <w:r w:rsidR="007E737B">
              <w:rPr>
                <w:rFonts w:cs="Times New Roman"/>
                <w:color w:val="000000" w:themeColor="text1"/>
                <w:sz w:val="20"/>
              </w:rPr>
              <w:t xml:space="preserve">risks </w:t>
            </w:r>
            <w:r w:rsidR="00280552">
              <w:rPr>
                <w:rFonts w:cs="Times New Roman"/>
                <w:color w:val="000000" w:themeColor="text1"/>
                <w:sz w:val="20"/>
              </w:rPr>
              <w:t xml:space="preserve">are </w:t>
            </w:r>
            <w:r w:rsidR="007E737B">
              <w:rPr>
                <w:rFonts w:cs="Times New Roman"/>
                <w:color w:val="000000" w:themeColor="text1"/>
                <w:sz w:val="20"/>
              </w:rPr>
              <w:t>listed</w:t>
            </w:r>
          </w:p>
          <w:p w:rsidR="004E6B6F" w:rsidRPr="00CF766C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(0-17)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38E" w:rsidRPr="00CF766C" w:rsidRDefault="0030438E" w:rsidP="00CF766C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25</w:t>
            </w:r>
          </w:p>
        </w:tc>
      </w:tr>
      <w:tr w:rsidR="0030438E" w:rsidRPr="00CF766C" w:rsidTr="004E6B6F">
        <w:trPr>
          <w:cantSplit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Pr="007E737B" w:rsidRDefault="003D58DA" w:rsidP="007E737B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0"/>
              </w:rPr>
            </w:pPr>
            <w:r w:rsidRPr="007E737B">
              <w:rPr>
                <w:rFonts w:cs="Times New Roman"/>
                <w:b/>
                <w:color w:val="000000" w:themeColor="text1"/>
                <w:sz w:val="20"/>
              </w:rPr>
              <w:t>Quality of Risks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 xml:space="preserve">Each risk has a detailed explanation, operational consequences, </w:t>
            </w:r>
            <w:r w:rsidR="001B55E2">
              <w:rPr>
                <w:rFonts w:cs="Times New Roman"/>
                <w:color w:val="000000" w:themeColor="text1"/>
                <w:sz w:val="20"/>
              </w:rPr>
              <w:t>and business effects listed</w:t>
            </w:r>
          </w:p>
          <w:p w:rsidR="007E737B" w:rsidRDefault="007E737B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</w:p>
          <w:p w:rsidR="004E6B6F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</w:p>
          <w:p w:rsidR="007E737B" w:rsidRPr="00CF766C" w:rsidRDefault="007E737B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(23-25)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Most risks have a complete explanation, operational consequenc</w:t>
            </w:r>
            <w:r w:rsidR="007E737B">
              <w:rPr>
                <w:rFonts w:cs="Times New Roman"/>
                <w:color w:val="000000" w:themeColor="text1"/>
                <w:sz w:val="20"/>
              </w:rPr>
              <w:t>es, and business effects listed</w:t>
            </w:r>
          </w:p>
          <w:p w:rsidR="007E737B" w:rsidRDefault="007E737B" w:rsidP="0030438E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</w:p>
          <w:p w:rsidR="004E6B6F" w:rsidRDefault="004E6B6F" w:rsidP="0030438E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</w:p>
          <w:p w:rsidR="007E737B" w:rsidRPr="00CF766C" w:rsidRDefault="007E737B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(20-22)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Some risks have a complete explanation, operational consequences, and business effects listed</w:t>
            </w:r>
            <w:r w:rsidR="0020325A">
              <w:rPr>
                <w:rFonts w:cs="Times New Roman"/>
                <w:color w:val="000000" w:themeColor="text1"/>
                <w:sz w:val="20"/>
              </w:rPr>
              <w:t>,</w:t>
            </w:r>
            <w:r w:rsidRPr="00CF766C">
              <w:rPr>
                <w:rFonts w:cs="Times New Roman"/>
                <w:color w:val="000000" w:themeColor="text1"/>
                <w:sz w:val="20"/>
              </w:rPr>
              <w:t xml:space="preserve"> and/or some risks h</w:t>
            </w:r>
            <w:r w:rsidR="007E737B">
              <w:rPr>
                <w:rFonts w:cs="Times New Roman"/>
                <w:color w:val="000000" w:themeColor="text1"/>
                <w:sz w:val="20"/>
              </w:rPr>
              <w:t>ave no information listed</w:t>
            </w:r>
          </w:p>
          <w:p w:rsidR="004E6B6F" w:rsidRPr="00CF766C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(18-19)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Few risks are comple</w:t>
            </w:r>
            <w:r w:rsidR="007E737B">
              <w:rPr>
                <w:rFonts w:cs="Times New Roman"/>
                <w:color w:val="000000" w:themeColor="text1"/>
                <w:sz w:val="20"/>
              </w:rPr>
              <w:t>te with details and information</w:t>
            </w:r>
          </w:p>
          <w:p w:rsidR="004E6B6F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</w:p>
          <w:p w:rsidR="004E6B6F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</w:p>
          <w:p w:rsidR="004E6B6F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</w:p>
          <w:p w:rsidR="004E6B6F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</w:p>
          <w:p w:rsidR="004E6B6F" w:rsidRPr="00CF766C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(0-17)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8DA" w:rsidRPr="00CF766C" w:rsidRDefault="003D58DA" w:rsidP="00CF766C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25</w:t>
            </w:r>
          </w:p>
        </w:tc>
      </w:tr>
      <w:tr w:rsidR="0030438E" w:rsidRPr="00CF766C" w:rsidTr="004E6B6F">
        <w:trPr>
          <w:cantSplit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Pr="007E737B" w:rsidRDefault="003D58DA" w:rsidP="007E737B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0"/>
              </w:rPr>
            </w:pPr>
            <w:r w:rsidRPr="007E737B">
              <w:rPr>
                <w:rFonts w:cs="Times New Roman"/>
                <w:b/>
                <w:color w:val="000000" w:themeColor="text1"/>
                <w:sz w:val="20"/>
              </w:rPr>
              <w:t>Probability, Impact, and Exposure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The probability, impact, and exposure sections are completed with det</w:t>
            </w:r>
            <w:r w:rsidR="007E737B">
              <w:rPr>
                <w:rFonts w:cs="Times New Roman"/>
                <w:color w:val="000000" w:themeColor="text1"/>
                <w:sz w:val="20"/>
              </w:rPr>
              <w:t>ails and supporting information</w:t>
            </w:r>
          </w:p>
          <w:p w:rsidR="007E737B" w:rsidRPr="00CF766C" w:rsidRDefault="007E737B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(23-25)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E737B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The probability, impact, and exposure sections h</w:t>
            </w:r>
            <w:r w:rsidR="007E737B">
              <w:rPr>
                <w:rFonts w:cs="Times New Roman"/>
                <w:color w:val="000000" w:themeColor="text1"/>
                <w:sz w:val="20"/>
              </w:rPr>
              <w:t>ave some detail and information</w:t>
            </w:r>
          </w:p>
          <w:p w:rsidR="007E737B" w:rsidRDefault="007E737B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</w:p>
          <w:p w:rsidR="007E737B" w:rsidRPr="00CF766C" w:rsidRDefault="007E737B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(20-22)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 xml:space="preserve">Most of the probability, impact, and exposure sections are complete, but </w:t>
            </w:r>
            <w:r w:rsidR="004E6B6F">
              <w:rPr>
                <w:rFonts w:cs="Times New Roman"/>
                <w:color w:val="000000" w:themeColor="text1"/>
                <w:sz w:val="20"/>
              </w:rPr>
              <w:t>some may be incomplete or empty</w:t>
            </w:r>
          </w:p>
          <w:p w:rsidR="004E6B6F" w:rsidRPr="00CF766C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(18-19)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There are gaps in the probability, impact, and exposure secti</w:t>
            </w:r>
            <w:r w:rsidR="004E6B6F">
              <w:rPr>
                <w:rFonts w:cs="Times New Roman"/>
                <w:color w:val="000000" w:themeColor="text1"/>
                <w:sz w:val="20"/>
              </w:rPr>
              <w:t>ons, or many sections are empty</w:t>
            </w:r>
          </w:p>
          <w:p w:rsidR="004E6B6F" w:rsidRPr="00CF766C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(0-17)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8DA" w:rsidRPr="00CF766C" w:rsidRDefault="003D58DA" w:rsidP="00CF766C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25</w:t>
            </w:r>
          </w:p>
        </w:tc>
      </w:tr>
      <w:tr w:rsidR="0030438E" w:rsidRPr="00CF766C" w:rsidTr="004E6B6F">
        <w:trPr>
          <w:cantSplit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Pr="007E737B" w:rsidRDefault="003D58DA" w:rsidP="007E737B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0"/>
              </w:rPr>
            </w:pPr>
            <w:r w:rsidRPr="007E737B">
              <w:rPr>
                <w:rFonts w:cs="Times New Roman"/>
                <w:b/>
                <w:color w:val="000000" w:themeColor="text1"/>
                <w:sz w:val="20"/>
              </w:rPr>
              <w:t>Mitigation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 xml:space="preserve">The mitigation, contingency, and trigger sections are complete </w:t>
            </w:r>
            <w:r w:rsidR="007E737B">
              <w:rPr>
                <w:rFonts w:cs="Times New Roman"/>
                <w:color w:val="000000" w:themeColor="text1"/>
                <w:sz w:val="20"/>
              </w:rPr>
              <w:t>with detail</w:t>
            </w:r>
            <w:r w:rsidR="00163FDC">
              <w:rPr>
                <w:rFonts w:cs="Times New Roman"/>
                <w:color w:val="000000" w:themeColor="text1"/>
                <w:sz w:val="20"/>
              </w:rPr>
              <w:t>s</w:t>
            </w:r>
            <w:r w:rsidR="007E737B">
              <w:rPr>
                <w:rFonts w:cs="Times New Roman"/>
                <w:color w:val="000000" w:themeColor="text1"/>
                <w:sz w:val="20"/>
              </w:rPr>
              <w:t xml:space="preserve"> related to the risk</w:t>
            </w:r>
          </w:p>
          <w:p w:rsidR="007E737B" w:rsidRPr="00CF766C" w:rsidRDefault="007E737B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(23-25)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 xml:space="preserve">The mitigation, contingency, and trigger sections are less than complete, and/or have </w:t>
            </w:r>
            <w:r w:rsidR="007E737B">
              <w:rPr>
                <w:rFonts w:cs="Times New Roman"/>
                <w:color w:val="000000" w:themeColor="text1"/>
                <w:sz w:val="20"/>
              </w:rPr>
              <w:t>details not related to the risk</w:t>
            </w:r>
          </w:p>
          <w:p w:rsidR="007E737B" w:rsidRPr="00CF766C" w:rsidRDefault="007E737B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(20-22)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The mitigation, contingency, and trigger sections h</w:t>
            </w:r>
            <w:r w:rsidR="007E737B">
              <w:rPr>
                <w:rFonts w:cs="Times New Roman"/>
                <w:color w:val="000000" w:themeColor="text1"/>
                <w:sz w:val="20"/>
              </w:rPr>
              <w:t>ave few details and information</w:t>
            </w:r>
          </w:p>
          <w:p w:rsidR="004E6B6F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</w:p>
          <w:p w:rsidR="004E6B6F" w:rsidRPr="00CF766C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(18-19)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D58DA" w:rsidRDefault="003D58DA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There are gaps or missing portions in the mitigation, contingency, and t</w:t>
            </w:r>
            <w:r w:rsidR="007E737B">
              <w:rPr>
                <w:rFonts w:cs="Times New Roman"/>
                <w:color w:val="000000" w:themeColor="text1"/>
                <w:sz w:val="20"/>
              </w:rPr>
              <w:t>rigger sections of the analysis</w:t>
            </w:r>
          </w:p>
          <w:p w:rsidR="004E6B6F" w:rsidRPr="00CF766C" w:rsidRDefault="004E6B6F" w:rsidP="0030438E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</w:rPr>
            </w:pPr>
            <w:r w:rsidRPr="00BC34AF">
              <w:rPr>
                <w:sz w:val="20"/>
              </w:rPr>
              <w:t>(0-17)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8DA" w:rsidRPr="00CF766C" w:rsidRDefault="003D58DA" w:rsidP="00CF766C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CF766C">
              <w:rPr>
                <w:rFonts w:cs="Times New Roman"/>
                <w:color w:val="000000" w:themeColor="text1"/>
                <w:sz w:val="20"/>
              </w:rPr>
              <w:t>25</w:t>
            </w:r>
          </w:p>
        </w:tc>
      </w:tr>
      <w:tr w:rsidR="0030438E" w:rsidRPr="00CF766C" w:rsidTr="00CF766C">
        <w:trPr>
          <w:cantSplit/>
        </w:trPr>
        <w:tc>
          <w:tcPr>
            <w:tcW w:w="12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0438E" w:rsidRPr="00CF766C" w:rsidRDefault="0030438E" w:rsidP="0030438E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Earned Total</w:t>
            </w:r>
          </w:p>
          <w:p w:rsidR="0030438E" w:rsidRPr="00CF766C" w:rsidRDefault="0030438E" w:rsidP="0030438E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rPr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Comments: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438E" w:rsidRPr="00CF766C" w:rsidRDefault="0030438E" w:rsidP="0030438E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100%</w:t>
            </w:r>
          </w:p>
        </w:tc>
      </w:tr>
    </w:tbl>
    <w:p w:rsidR="003D58DA" w:rsidRPr="00CF766C" w:rsidRDefault="003D58DA" w:rsidP="0030438E">
      <w:pPr>
        <w:pStyle w:val="Normal1"/>
        <w:widowControl w:val="0"/>
        <w:spacing w:after="0" w:line="240" w:lineRule="auto"/>
        <w:contextualSpacing/>
        <w:rPr>
          <w:color w:val="000000" w:themeColor="text1"/>
          <w:sz w:val="20"/>
        </w:rPr>
      </w:pPr>
    </w:p>
    <w:p w:rsidR="00B75C24" w:rsidRPr="00CF766C" w:rsidRDefault="00B75C24" w:rsidP="0030438E">
      <w:pPr>
        <w:widowControl w:val="0"/>
        <w:spacing w:after="0" w:line="240" w:lineRule="auto"/>
        <w:contextualSpacing/>
        <w:rPr>
          <w:color w:val="000000" w:themeColor="text1"/>
          <w:sz w:val="20"/>
        </w:rPr>
      </w:pPr>
    </w:p>
    <w:sectPr w:rsidR="00B75C24" w:rsidRPr="00CF766C" w:rsidSect="003D58DA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91B" w:rsidRDefault="00D0591B" w:rsidP="0030438E">
      <w:pPr>
        <w:spacing w:after="0" w:line="240" w:lineRule="auto"/>
      </w:pPr>
      <w:r>
        <w:separator/>
      </w:r>
    </w:p>
  </w:endnote>
  <w:endnote w:type="continuationSeparator" w:id="0">
    <w:p w:rsidR="00D0591B" w:rsidRDefault="00D0591B" w:rsidP="0030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91B" w:rsidRDefault="00D0591B" w:rsidP="0030438E">
      <w:pPr>
        <w:spacing w:after="0" w:line="240" w:lineRule="auto"/>
      </w:pPr>
      <w:r>
        <w:separator/>
      </w:r>
    </w:p>
  </w:footnote>
  <w:footnote w:type="continuationSeparator" w:id="0">
    <w:p w:rsidR="00D0591B" w:rsidRDefault="00D0591B" w:rsidP="0030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8E" w:rsidRDefault="0030438E" w:rsidP="0030438E">
    <w:pPr>
      <w:pStyle w:val="Header"/>
      <w:spacing w:after="200"/>
      <w:jc w:val="center"/>
    </w:pPr>
    <w:r>
      <w:rPr>
        <w:noProof/>
      </w:rPr>
      <w:drawing>
        <wp:inline distT="0" distB="0" distL="0" distR="0" wp14:anchorId="2EACF81D" wp14:editId="3CB736F8">
          <wp:extent cx="2743200" cy="412750"/>
          <wp:effectExtent l="0" t="0" r="0" b="635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DA"/>
    <w:rsid w:val="0000740F"/>
    <w:rsid w:val="000F363D"/>
    <w:rsid w:val="000F5585"/>
    <w:rsid w:val="00101974"/>
    <w:rsid w:val="00163FDC"/>
    <w:rsid w:val="001B55E2"/>
    <w:rsid w:val="0020325A"/>
    <w:rsid w:val="00280552"/>
    <w:rsid w:val="002967AE"/>
    <w:rsid w:val="002D7EBB"/>
    <w:rsid w:val="0030438E"/>
    <w:rsid w:val="003C43BC"/>
    <w:rsid w:val="003D58DA"/>
    <w:rsid w:val="004024A2"/>
    <w:rsid w:val="004E6B6F"/>
    <w:rsid w:val="005F0F81"/>
    <w:rsid w:val="006A27AC"/>
    <w:rsid w:val="007E737B"/>
    <w:rsid w:val="009734CE"/>
    <w:rsid w:val="009C5150"/>
    <w:rsid w:val="009E7EF7"/>
    <w:rsid w:val="00B75C24"/>
    <w:rsid w:val="00B8175B"/>
    <w:rsid w:val="00C810A2"/>
    <w:rsid w:val="00CF766C"/>
    <w:rsid w:val="00D0591B"/>
    <w:rsid w:val="00D31791"/>
    <w:rsid w:val="00D41B85"/>
    <w:rsid w:val="00E13FE3"/>
    <w:rsid w:val="00ED3735"/>
    <w:rsid w:val="00F4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790ACB-4E50-4FD9-94AC-5347ACA0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DA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D58DA"/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38E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38E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38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C5491-69EF-426F-BDE9-4A20AD66D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9AF2C-29AA-4024-8199-94D40B09B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EC9EE-18ED-4D22-B324-1FDBEDD66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NH University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Webb, Charles</dc:creator>
  <cp:lastModifiedBy>kevin stevens</cp:lastModifiedBy>
  <cp:revision>2</cp:revision>
  <dcterms:created xsi:type="dcterms:W3CDTF">2017-03-29T12:41:00Z</dcterms:created>
  <dcterms:modified xsi:type="dcterms:W3CDTF">2017-03-29T12:41:00Z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